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9FF266" w14:textId="77777777" w:rsidR="006D2758" w:rsidRDefault="006D2758" w:rsidP="006D2758"/>
    <w:p w14:paraId="51230CAC" w14:textId="77777777" w:rsidR="006D2758" w:rsidRDefault="006D2758" w:rsidP="006D2758">
      <w:pPr>
        <w:pStyle w:val="Heading4"/>
      </w:pPr>
      <w:r>
        <w:t xml:space="preserve">Worker mobilization is </w:t>
      </w:r>
      <w:r w:rsidRPr="00385ED3">
        <w:rPr>
          <w:u w:val="single"/>
        </w:rPr>
        <w:t>inevitable</w:t>
      </w:r>
      <w:r>
        <w:t xml:space="preserve">, but only </w:t>
      </w:r>
      <w:r w:rsidRPr="00385ED3">
        <w:rPr>
          <w:u w:val="single"/>
        </w:rPr>
        <w:t>federal</w:t>
      </w:r>
      <w:r>
        <w:rPr>
          <w:u w:val="single"/>
        </w:rPr>
        <w:t>ly enacted</w:t>
      </w:r>
      <w:r>
        <w:t xml:space="preserve"> sectoral bargaining channels it into union strength that delivers </w:t>
      </w:r>
      <w:r w:rsidRPr="00385ED3">
        <w:rPr>
          <w:u w:val="single"/>
        </w:rPr>
        <w:t>wins</w:t>
      </w:r>
      <w:r>
        <w:t xml:space="preserve">. </w:t>
      </w:r>
    </w:p>
    <w:p w14:paraId="3F36BA36" w14:textId="6016567D" w:rsidR="006D2758" w:rsidRPr="006D2758" w:rsidRDefault="006D2758" w:rsidP="006D2758">
      <w:r>
        <w:t xml:space="preserve">David </w:t>
      </w:r>
      <w:r w:rsidRPr="00442E09">
        <w:rPr>
          <w:rStyle w:val="Style13ptBold"/>
        </w:rPr>
        <w:t>Rolf 20</w:t>
      </w:r>
      <w:r>
        <w:t xml:space="preserve">, founder and President Emeritus of SEIU 775 and a former International Vice President of SEIU, “Economic and Political Bargaining Both Depend on Trust”, September 24, 2020, https://americancompass.org/economic-and-political-bargaining-both-depend-on-trust/, DOA: 8-30-25, </w:t>
      </w:r>
      <w:proofErr w:type="spellStart"/>
      <w:r>
        <w:t>Rslish</w:t>
      </w:r>
      <w:proofErr w:type="spellEnd"/>
    </w:p>
    <w:p w14:paraId="7949C671" w14:textId="77777777" w:rsidR="006D2758" w:rsidRPr="006D2758" w:rsidRDefault="006D2758" w:rsidP="006D2758">
      <w:pPr>
        <w:rPr>
          <w:sz w:val="16"/>
        </w:rPr>
      </w:pPr>
      <w:r w:rsidRPr="00F44F8B">
        <w:rPr>
          <w:rStyle w:val="StyleUnderline"/>
        </w:rPr>
        <w:t>Option number three is</w:t>
      </w:r>
      <w:r w:rsidRPr="006D2758">
        <w:rPr>
          <w:sz w:val="16"/>
        </w:rPr>
        <w:t xml:space="preserve"> some version of </w:t>
      </w:r>
      <w:r w:rsidRPr="00385ED3">
        <w:rPr>
          <w:rStyle w:val="StyleUnderline"/>
          <w:highlight w:val="cyan"/>
        </w:rPr>
        <w:t>sectoral bargaining</w:t>
      </w:r>
      <w:r w:rsidRPr="00F44F8B">
        <w:rPr>
          <w:rStyle w:val="StyleUnderline"/>
        </w:rPr>
        <w:t>. Support</w:t>
      </w:r>
      <w:r w:rsidRPr="006D2758">
        <w:rPr>
          <w:sz w:val="16"/>
        </w:rPr>
        <w:t xml:space="preserve"> for this option </w:t>
      </w:r>
      <w:r w:rsidRPr="00F44F8B">
        <w:rPr>
          <w:rStyle w:val="StyleUnderline"/>
        </w:rPr>
        <w:t xml:space="preserve">is growing among labor </w:t>
      </w:r>
      <w:proofErr w:type="gramStart"/>
      <w:r w:rsidRPr="00F44F8B">
        <w:rPr>
          <w:rStyle w:val="StyleUnderline"/>
        </w:rPr>
        <w:t>leaders, but</w:t>
      </w:r>
      <w:proofErr w:type="gramEnd"/>
      <w:r w:rsidRPr="006D2758">
        <w:rPr>
          <w:sz w:val="16"/>
        </w:rPr>
        <w:t xml:space="preserve"> is </w:t>
      </w:r>
      <w:r w:rsidRPr="00F44F8B">
        <w:rPr>
          <w:rStyle w:val="StyleUnderline"/>
        </w:rPr>
        <w:t>far from universal</w:t>
      </w:r>
      <w:r w:rsidRPr="006D2758">
        <w:rPr>
          <w:sz w:val="16"/>
        </w:rPr>
        <w:t xml:space="preserve">. I doubt there is any perfect system, but from the perspective of someone who has spent his adult life and career working within the limits and contortions of the current U.S. system, </w:t>
      </w:r>
      <w:r w:rsidRPr="00F44F8B">
        <w:rPr>
          <w:rStyle w:val="StyleUnderline"/>
        </w:rPr>
        <w:t xml:space="preserve">this option </w:t>
      </w:r>
      <w:r w:rsidRPr="00385ED3">
        <w:rPr>
          <w:rStyle w:val="StyleUnderline"/>
          <w:highlight w:val="cyan"/>
        </w:rPr>
        <w:t xml:space="preserve">has </w:t>
      </w:r>
      <w:r w:rsidRPr="00385ED3">
        <w:rPr>
          <w:rStyle w:val="Emphasis"/>
          <w:highlight w:val="cyan"/>
        </w:rPr>
        <w:t>by far</w:t>
      </w:r>
      <w:r w:rsidRPr="00385ED3">
        <w:rPr>
          <w:rStyle w:val="StyleUnderline"/>
          <w:highlight w:val="cyan"/>
        </w:rPr>
        <w:t xml:space="preserve"> more appeal</w:t>
      </w:r>
      <w:r w:rsidRPr="006D2758">
        <w:rPr>
          <w:sz w:val="16"/>
        </w:rPr>
        <w:t xml:space="preserve"> for the reasons we’ve discussed – </w:t>
      </w:r>
      <w:r w:rsidRPr="00F44F8B">
        <w:rPr>
          <w:rStyle w:val="StyleUnderline"/>
        </w:rPr>
        <w:t xml:space="preserve">it </w:t>
      </w:r>
      <w:r w:rsidRPr="00385ED3">
        <w:rPr>
          <w:rStyle w:val="StyleUnderline"/>
          <w:highlight w:val="cyan"/>
        </w:rPr>
        <w:t>covers more</w:t>
      </w:r>
      <w:r w:rsidRPr="00F44F8B">
        <w:rPr>
          <w:rStyle w:val="StyleUnderline"/>
        </w:rPr>
        <w:t xml:space="preserve"> workers, </w:t>
      </w:r>
      <w:r w:rsidRPr="00385ED3">
        <w:rPr>
          <w:rStyle w:val="StyleUnderline"/>
          <w:highlight w:val="cyan"/>
        </w:rPr>
        <w:t>creates</w:t>
      </w:r>
      <w:r w:rsidRPr="006D2758">
        <w:rPr>
          <w:sz w:val="16"/>
        </w:rPr>
        <w:t xml:space="preserve"> far-</w:t>
      </w:r>
      <w:r w:rsidRPr="00385ED3">
        <w:rPr>
          <w:rStyle w:val="StyleUnderline"/>
          <w:highlight w:val="cyan"/>
        </w:rPr>
        <w:t>better economic outcomes</w:t>
      </w:r>
      <w:r w:rsidRPr="00F44F8B">
        <w:rPr>
          <w:rStyle w:val="StyleUnderline"/>
        </w:rPr>
        <w:t xml:space="preserve">, creates </w:t>
      </w:r>
      <w:r w:rsidRPr="00385ED3">
        <w:rPr>
          <w:rStyle w:val="StyleUnderline"/>
          <w:highlight w:val="cyan"/>
        </w:rPr>
        <w:t>fewer incentives for</w:t>
      </w:r>
      <w:r w:rsidRPr="006D2758">
        <w:rPr>
          <w:sz w:val="16"/>
        </w:rPr>
        <w:t xml:space="preserve"> a </w:t>
      </w:r>
      <w:r w:rsidRPr="00385ED3">
        <w:rPr>
          <w:rStyle w:val="Emphasis"/>
          <w:highlight w:val="cyan"/>
        </w:rPr>
        <w:t>race-to-the-bottom</w:t>
      </w:r>
      <w:r w:rsidRPr="00385ED3">
        <w:rPr>
          <w:rStyle w:val="StyleUnderline"/>
          <w:highlight w:val="cyan"/>
        </w:rPr>
        <w:t>, focuses conflict on</w:t>
      </w:r>
      <w:r w:rsidRPr="006D2758">
        <w:rPr>
          <w:sz w:val="16"/>
        </w:rPr>
        <w:t xml:space="preserve"> periodic </w:t>
      </w:r>
      <w:r w:rsidRPr="00F44F8B">
        <w:rPr>
          <w:rStyle w:val="StyleUnderline"/>
        </w:rPr>
        <w:t xml:space="preserve">macro-level </w:t>
      </w:r>
      <w:r w:rsidRPr="00385ED3">
        <w:rPr>
          <w:rStyle w:val="StyleUnderline"/>
          <w:highlight w:val="cyan"/>
        </w:rPr>
        <w:t>national</w:t>
      </w:r>
      <w:r w:rsidRPr="006D2758">
        <w:rPr>
          <w:sz w:val="16"/>
        </w:rPr>
        <w:t xml:space="preserve"> or regional </w:t>
      </w:r>
      <w:r w:rsidRPr="00385ED3">
        <w:rPr>
          <w:rStyle w:val="StyleUnderline"/>
          <w:highlight w:val="cyan"/>
        </w:rPr>
        <w:t>bargains</w:t>
      </w:r>
      <w:r w:rsidRPr="006D2758">
        <w:rPr>
          <w:sz w:val="16"/>
        </w:rPr>
        <w:t xml:space="preserve"> rather than on the shop floor, </w:t>
      </w:r>
      <w:r w:rsidRPr="00385ED3">
        <w:rPr>
          <w:rStyle w:val="StyleUnderline"/>
          <w:highlight w:val="cyan"/>
        </w:rPr>
        <w:t>and allows greater</w:t>
      </w:r>
      <w:r w:rsidRPr="00F44F8B">
        <w:rPr>
          <w:rStyle w:val="StyleUnderline"/>
        </w:rPr>
        <w:t xml:space="preserve"> avenues for </w:t>
      </w:r>
      <w:r w:rsidRPr="00385ED3">
        <w:rPr>
          <w:rStyle w:val="StyleUnderline"/>
          <w:highlight w:val="cyan"/>
        </w:rPr>
        <w:t>labor-management partnership</w:t>
      </w:r>
      <w:r w:rsidRPr="006D2758">
        <w:rPr>
          <w:sz w:val="16"/>
        </w:rPr>
        <w:t>.</w:t>
      </w:r>
    </w:p>
    <w:p w14:paraId="1E4EC700" w14:textId="77777777" w:rsidR="006D2758" w:rsidRPr="006D2758" w:rsidRDefault="006D2758" w:rsidP="006D2758">
      <w:pPr>
        <w:rPr>
          <w:sz w:val="16"/>
        </w:rPr>
      </w:pPr>
      <w:r w:rsidRPr="006D2758">
        <w:rPr>
          <w:sz w:val="16"/>
        </w:rPr>
        <w:t xml:space="preserve">How could this </w:t>
      </w:r>
      <w:proofErr w:type="gramStart"/>
      <w:r w:rsidRPr="006D2758">
        <w:rPr>
          <w:sz w:val="16"/>
        </w:rPr>
        <w:t>actually happen</w:t>
      </w:r>
      <w:proofErr w:type="gramEnd"/>
      <w:r w:rsidRPr="006D2758">
        <w:rPr>
          <w:sz w:val="16"/>
        </w:rPr>
        <w:t>?</w:t>
      </w:r>
    </w:p>
    <w:p w14:paraId="4F351EB2" w14:textId="77777777" w:rsidR="006D2758" w:rsidRPr="006D2758" w:rsidRDefault="006D2758" w:rsidP="006D2758">
      <w:pPr>
        <w:rPr>
          <w:sz w:val="16"/>
        </w:rPr>
      </w:pPr>
      <w:r w:rsidRPr="001B1C2E">
        <w:rPr>
          <w:rStyle w:val="StyleUnderline"/>
        </w:rPr>
        <w:t>In a perfect world, there</w:t>
      </w:r>
      <w:r w:rsidRPr="006D2758">
        <w:rPr>
          <w:sz w:val="16"/>
        </w:rPr>
        <w:t xml:space="preserve"> probably </w:t>
      </w:r>
      <w:r w:rsidRPr="001B1C2E">
        <w:rPr>
          <w:rStyle w:val="StyleUnderline"/>
        </w:rPr>
        <w:t xml:space="preserve">would be a 1500-page federal law scrapping most of the NLRA and </w:t>
      </w:r>
      <w:r w:rsidRPr="00385ED3">
        <w:rPr>
          <w:rStyle w:val="StyleUnderline"/>
          <w:highlight w:val="cyan"/>
        </w:rPr>
        <w:t>instituting</w:t>
      </w:r>
      <w:r w:rsidRPr="001B1C2E">
        <w:rPr>
          <w:rStyle w:val="StyleUnderline"/>
        </w:rPr>
        <w:t xml:space="preserve"> a broad </w:t>
      </w:r>
      <w:r w:rsidRPr="00385ED3">
        <w:rPr>
          <w:rStyle w:val="StyleUnderline"/>
          <w:highlight w:val="cyan"/>
        </w:rPr>
        <w:t xml:space="preserve">new system of </w:t>
      </w:r>
      <w:r w:rsidRPr="00385ED3">
        <w:rPr>
          <w:rStyle w:val="Emphasis"/>
          <w:highlight w:val="cyan"/>
        </w:rPr>
        <w:t>sectoral bargaining</w:t>
      </w:r>
      <w:r w:rsidRPr="00385ED3">
        <w:rPr>
          <w:rStyle w:val="StyleUnderline"/>
          <w:highlight w:val="cyan"/>
        </w:rPr>
        <w:t xml:space="preserve"> in one fell swoop</w:t>
      </w:r>
      <w:r w:rsidRPr="006D2758">
        <w:rPr>
          <w:sz w:val="16"/>
        </w:rPr>
        <w:t>, and I’m not willing to give up all hope for that in the long run. But the federal government isn’t famous for domestic policy innovations that haven’t first been prototyped by cities and states, or in specific industries. Even the Wagner framework itself can trace its roots to late 19th century railway legislation, the 1912-15 U.S. Commission on Industrial Relations, the World War I-era War Labor Board, and the 1926 Railway Labor Act.</w:t>
      </w:r>
    </w:p>
    <w:p w14:paraId="43E76862" w14:textId="77777777" w:rsidR="006D2758" w:rsidRPr="006D2758" w:rsidRDefault="006D2758" w:rsidP="006D2758">
      <w:pPr>
        <w:rPr>
          <w:sz w:val="16"/>
        </w:rPr>
      </w:pPr>
      <w:r w:rsidRPr="006D2758">
        <w:rPr>
          <w:sz w:val="16"/>
        </w:rPr>
        <w:t>As you point out, there are several avenues for experimentation, learning, and progress short of a comprehensive federal reform. Your three examples are all apt.</w:t>
      </w:r>
    </w:p>
    <w:p w14:paraId="1F9C49A6" w14:textId="77777777" w:rsidR="006D2758" w:rsidRPr="006D2758" w:rsidRDefault="006D2758" w:rsidP="006D2758">
      <w:pPr>
        <w:rPr>
          <w:sz w:val="16"/>
        </w:rPr>
      </w:pPr>
      <w:r w:rsidRPr="00385ED3">
        <w:rPr>
          <w:rStyle w:val="Emphasis"/>
          <w:highlight w:val="cyan"/>
        </w:rPr>
        <w:t>States</w:t>
      </w:r>
      <w:r w:rsidRPr="006D2758">
        <w:rPr>
          <w:sz w:val="16"/>
        </w:rPr>
        <w:t xml:space="preserve"> (or in some cases home-rule cities) </w:t>
      </w:r>
      <w:r w:rsidRPr="001B1C2E">
        <w:rPr>
          <w:rStyle w:val="StyleUnderline"/>
        </w:rPr>
        <w:t>could experiment with</w:t>
      </w:r>
      <w:r w:rsidRPr="006D2758">
        <w:rPr>
          <w:sz w:val="16"/>
        </w:rPr>
        <w:t xml:space="preserve"> bi- or tri-partite </w:t>
      </w:r>
      <w:r w:rsidRPr="001B1C2E">
        <w:rPr>
          <w:rStyle w:val="StyleUnderline"/>
        </w:rPr>
        <w:t xml:space="preserve">industrial </w:t>
      </w:r>
      <w:r w:rsidRPr="00385ED3">
        <w:rPr>
          <w:rStyle w:val="StyleUnderline"/>
          <w:highlight w:val="cyan"/>
        </w:rPr>
        <w:t>standard setting</w:t>
      </w:r>
      <w:r w:rsidRPr="006D2758">
        <w:rPr>
          <w:sz w:val="16"/>
        </w:rPr>
        <w:t>. One state might create a sectoral bargaining framework for a specific industry with persistently low wages or dangerous work that lawmakers believe needs addressing. The existing union(s) or alternative worker groups that meet a threshold of legitimacy and the employer-representatives (probably a trade association) might negotiate directly, with a public representative or arbitrator empowered as a “</w:t>
      </w:r>
      <w:proofErr w:type="gramStart"/>
      <w:r w:rsidRPr="006D2758">
        <w:rPr>
          <w:sz w:val="16"/>
        </w:rPr>
        <w:t>tie-breaker</w:t>
      </w:r>
      <w:proofErr w:type="gramEnd"/>
      <w:r w:rsidRPr="006D2758">
        <w:rPr>
          <w:sz w:val="16"/>
        </w:rPr>
        <w:t>,” and the resulting agreement could be binding at least as a set of minimum standards on the industry.</w:t>
      </w:r>
    </w:p>
    <w:p w14:paraId="02D89514" w14:textId="5400F3FE" w:rsidR="005D388F" w:rsidRPr="006D2758" w:rsidRDefault="006D2758" w:rsidP="005D388F">
      <w:pPr>
        <w:rPr>
          <w:sz w:val="16"/>
        </w:rPr>
      </w:pPr>
      <w:r w:rsidRPr="001B1C2E">
        <w:rPr>
          <w:rStyle w:val="StyleUnderline"/>
        </w:rPr>
        <w:t>This</w:t>
      </w:r>
      <w:r w:rsidRPr="006D2758">
        <w:rPr>
          <w:sz w:val="16"/>
        </w:rPr>
        <w:t xml:space="preserve"> path </w:t>
      </w:r>
      <w:r w:rsidRPr="00385ED3">
        <w:rPr>
          <w:rStyle w:val="StyleUnderline"/>
          <w:highlight w:val="cyan"/>
        </w:rPr>
        <w:t>has</w:t>
      </w:r>
      <w:r w:rsidRPr="006D2758">
        <w:rPr>
          <w:sz w:val="16"/>
        </w:rPr>
        <w:t xml:space="preserve"> some </w:t>
      </w:r>
      <w:r w:rsidRPr="00385ED3">
        <w:rPr>
          <w:rStyle w:val="Emphasis"/>
          <w:highlight w:val="cyan"/>
        </w:rPr>
        <w:t>limits</w:t>
      </w:r>
      <w:r w:rsidRPr="006D2758">
        <w:rPr>
          <w:sz w:val="16"/>
        </w:rPr>
        <w:t xml:space="preserve"> – </w:t>
      </w:r>
      <w:r w:rsidRPr="001B1C2E">
        <w:rPr>
          <w:rStyle w:val="StyleUnderline"/>
        </w:rPr>
        <w:t xml:space="preserve">it seems </w:t>
      </w:r>
      <w:r w:rsidRPr="00385ED3">
        <w:rPr>
          <w:rStyle w:val="StyleUnderline"/>
          <w:highlight w:val="cyan"/>
        </w:rPr>
        <w:t>unlikely</w:t>
      </w:r>
      <w:r w:rsidRPr="006D2758">
        <w:rPr>
          <w:sz w:val="16"/>
        </w:rPr>
        <w:t xml:space="preserve"> that </w:t>
      </w:r>
      <w:r w:rsidRPr="00385ED3">
        <w:rPr>
          <w:rStyle w:val="Emphasis"/>
          <w:highlight w:val="cyan"/>
        </w:rPr>
        <w:t>without</w:t>
      </w:r>
      <w:r w:rsidRPr="001B1C2E">
        <w:rPr>
          <w:rStyle w:val="StyleUnderline"/>
        </w:rPr>
        <w:t xml:space="preserve"> a </w:t>
      </w:r>
      <w:r w:rsidRPr="00385ED3">
        <w:rPr>
          <w:rStyle w:val="Emphasis"/>
          <w:highlight w:val="cyan"/>
        </w:rPr>
        <w:t>federally-enacted framework</w:t>
      </w:r>
      <w:r w:rsidRPr="001B1C2E">
        <w:rPr>
          <w:rStyle w:val="StyleUnderline"/>
        </w:rPr>
        <w:t xml:space="preserve"> the </w:t>
      </w:r>
      <w:r w:rsidRPr="00385ED3">
        <w:rPr>
          <w:rStyle w:val="StyleUnderline"/>
          <w:highlight w:val="cyan"/>
        </w:rPr>
        <w:t>resulting “bargains” could be</w:t>
      </w:r>
      <w:r w:rsidRPr="006D2758">
        <w:rPr>
          <w:sz w:val="16"/>
        </w:rPr>
        <w:t xml:space="preserve"> incredibly </w:t>
      </w:r>
      <w:r w:rsidRPr="00385ED3">
        <w:rPr>
          <w:rStyle w:val="StyleUnderline"/>
          <w:highlight w:val="cyan"/>
        </w:rPr>
        <w:t>prescriptive over</w:t>
      </w:r>
      <w:r w:rsidRPr="006D2758">
        <w:rPr>
          <w:sz w:val="16"/>
        </w:rPr>
        <w:t xml:space="preserve"> some </w:t>
      </w:r>
      <w:r w:rsidRPr="001B1C2E">
        <w:rPr>
          <w:rStyle w:val="StyleUnderline"/>
        </w:rPr>
        <w:t xml:space="preserve">employment </w:t>
      </w:r>
      <w:r w:rsidRPr="00385ED3">
        <w:rPr>
          <w:rStyle w:val="StyleUnderline"/>
          <w:highlight w:val="cyan"/>
        </w:rPr>
        <w:t xml:space="preserve">terms without running afoul of </w:t>
      </w:r>
      <w:r w:rsidRPr="00385ED3">
        <w:rPr>
          <w:rStyle w:val="Emphasis"/>
          <w:highlight w:val="cyan"/>
        </w:rPr>
        <w:t>NLRA preemption</w:t>
      </w:r>
      <w:r w:rsidRPr="001B1C2E">
        <w:rPr>
          <w:rStyle w:val="StyleUnderline"/>
        </w:rPr>
        <w:t xml:space="preserve">. </w:t>
      </w:r>
      <w:r w:rsidRPr="009350D1">
        <w:rPr>
          <w:rStyle w:val="StyleUnderline"/>
        </w:rPr>
        <w:t xml:space="preserve">It also seems more likely to succeed in </w:t>
      </w:r>
      <w:r w:rsidRPr="009350D1">
        <w:rPr>
          <w:rStyle w:val="Emphasis"/>
        </w:rPr>
        <w:t>place-based</w:t>
      </w:r>
      <w:r w:rsidRPr="009350D1">
        <w:rPr>
          <w:sz w:val="16"/>
        </w:rPr>
        <w:t xml:space="preserve"> service </w:t>
      </w:r>
      <w:r w:rsidRPr="009350D1">
        <w:rPr>
          <w:rStyle w:val="StyleUnderline"/>
        </w:rPr>
        <w:t>industries where firms don’t have</w:t>
      </w:r>
      <w:r w:rsidRPr="009350D1">
        <w:rPr>
          <w:sz w:val="16"/>
        </w:rPr>
        <w:t xml:space="preserve"> a credible </w:t>
      </w:r>
      <w:r w:rsidRPr="009350D1">
        <w:rPr>
          <w:rStyle w:val="StyleUnderline"/>
        </w:rPr>
        <w:t xml:space="preserve">threat to </w:t>
      </w:r>
      <w:r w:rsidRPr="009350D1">
        <w:rPr>
          <w:rStyle w:val="Emphasis"/>
        </w:rPr>
        <w:t>flee across state lines</w:t>
      </w:r>
      <w:r w:rsidRPr="009350D1">
        <w:rPr>
          <w:rStyle w:val="StyleUnderline"/>
        </w:rPr>
        <w:t xml:space="preserve"> seeking less stringent</w:t>
      </w:r>
      <w:r w:rsidRPr="009350D1">
        <w:rPr>
          <w:sz w:val="16"/>
        </w:rPr>
        <w:t xml:space="preserve"> labor </w:t>
      </w:r>
      <w:r w:rsidRPr="009350D1">
        <w:rPr>
          <w:rStyle w:val="StyleUnderline"/>
        </w:rPr>
        <w:t>standards</w:t>
      </w:r>
      <w:r w:rsidRPr="009350D1">
        <w:rPr>
          <w:sz w:val="16"/>
        </w:rPr>
        <w:t>. But this path has already shown promise with state and local wage boards, some based in statute and others politically constructed.  And in many</w:t>
      </w:r>
      <w:r w:rsidRPr="006D2758">
        <w:rPr>
          <w:sz w:val="16"/>
        </w:rPr>
        <w:t xml:space="preserve"> cities and states, existing laws for awarding public construction contracts help create de-facto sectoral bargaining in the commercial construction industry (an industry also notable for high levels of labor-management partnership around apprenticeship and training programs, retirement plans, and health insurance).</w:t>
      </w:r>
    </w:p>
    <w:sectPr w:rsidR="005D388F" w:rsidRPr="006D2758" w:rsidSect="00091E6D">
      <w:pgSz w:w="12240" w:h="15840"/>
      <w:pgMar w:top="763" w:right="1454" w:bottom="864" w:left="1514"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0C124D" w14:textId="77777777" w:rsidR="000A5317" w:rsidRDefault="000A5317" w:rsidP="00066D2C">
      <w:pPr>
        <w:spacing w:after="0" w:line="240" w:lineRule="auto"/>
      </w:pPr>
      <w:r>
        <w:separator/>
      </w:r>
    </w:p>
  </w:endnote>
  <w:endnote w:type="continuationSeparator" w:id="0">
    <w:p w14:paraId="552AB9FC" w14:textId="77777777" w:rsidR="000A5317" w:rsidRDefault="000A5317" w:rsidP="00066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2D2D36" w14:textId="77777777" w:rsidR="000A5317" w:rsidRDefault="000A5317" w:rsidP="00066D2C">
      <w:pPr>
        <w:spacing w:after="0" w:line="240" w:lineRule="auto"/>
      </w:pPr>
      <w:r>
        <w:separator/>
      </w:r>
    </w:p>
  </w:footnote>
  <w:footnote w:type="continuationSeparator" w:id="0">
    <w:p w14:paraId="5F502CB6" w14:textId="77777777" w:rsidR="000A5317" w:rsidRDefault="000A5317" w:rsidP="00066D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89"/>
  <w:proofState w:spelling="clean" w:grammar="clean"/>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4964788240"/>
    <w:docVar w:name="VerbatimVersion" w:val="6.0.0"/>
    <w:docVar w:name="WordVersion" w:val="16.0"/>
  </w:docVars>
  <w:rsids>
    <w:rsidRoot w:val="006D2758"/>
    <w:rsid w:val="00001C7E"/>
    <w:rsid w:val="0000487C"/>
    <w:rsid w:val="00010AA6"/>
    <w:rsid w:val="00011FEF"/>
    <w:rsid w:val="00013C8B"/>
    <w:rsid w:val="00017423"/>
    <w:rsid w:val="00023AEF"/>
    <w:rsid w:val="000250CA"/>
    <w:rsid w:val="00032119"/>
    <w:rsid w:val="000427BD"/>
    <w:rsid w:val="00043C82"/>
    <w:rsid w:val="00044620"/>
    <w:rsid w:val="00050713"/>
    <w:rsid w:val="00053D0F"/>
    <w:rsid w:val="00054FB1"/>
    <w:rsid w:val="000562A0"/>
    <w:rsid w:val="00056966"/>
    <w:rsid w:val="000615B0"/>
    <w:rsid w:val="00063850"/>
    <w:rsid w:val="00063921"/>
    <w:rsid w:val="000657E9"/>
    <w:rsid w:val="00066D2C"/>
    <w:rsid w:val="0007328F"/>
    <w:rsid w:val="00074F1E"/>
    <w:rsid w:val="0007573B"/>
    <w:rsid w:val="0007578B"/>
    <w:rsid w:val="0007692C"/>
    <w:rsid w:val="00076EA7"/>
    <w:rsid w:val="00080A4E"/>
    <w:rsid w:val="00080E37"/>
    <w:rsid w:val="00080F27"/>
    <w:rsid w:val="000912B1"/>
    <w:rsid w:val="00091E6D"/>
    <w:rsid w:val="00093AB9"/>
    <w:rsid w:val="00094DF4"/>
    <w:rsid w:val="000961CD"/>
    <w:rsid w:val="000A0198"/>
    <w:rsid w:val="000A0585"/>
    <w:rsid w:val="000A218A"/>
    <w:rsid w:val="000A239C"/>
    <w:rsid w:val="000A4AE6"/>
    <w:rsid w:val="000A5317"/>
    <w:rsid w:val="000A5EE1"/>
    <w:rsid w:val="000B3425"/>
    <w:rsid w:val="000B37E7"/>
    <w:rsid w:val="000B5FBB"/>
    <w:rsid w:val="000B6974"/>
    <w:rsid w:val="000B6B3E"/>
    <w:rsid w:val="000C137E"/>
    <w:rsid w:val="000D0D08"/>
    <w:rsid w:val="000D739E"/>
    <w:rsid w:val="000D7A2C"/>
    <w:rsid w:val="000E0913"/>
    <w:rsid w:val="000E13F7"/>
    <w:rsid w:val="000E2525"/>
    <w:rsid w:val="000E4213"/>
    <w:rsid w:val="000F5C68"/>
    <w:rsid w:val="000F6390"/>
    <w:rsid w:val="000F6530"/>
    <w:rsid w:val="000F775F"/>
    <w:rsid w:val="00100949"/>
    <w:rsid w:val="001014FC"/>
    <w:rsid w:val="00102214"/>
    <w:rsid w:val="0010417F"/>
    <w:rsid w:val="00105540"/>
    <w:rsid w:val="00105C8A"/>
    <w:rsid w:val="001119CE"/>
    <w:rsid w:val="001128A3"/>
    <w:rsid w:val="00114316"/>
    <w:rsid w:val="001149FE"/>
    <w:rsid w:val="00117F85"/>
    <w:rsid w:val="00117F87"/>
    <w:rsid w:val="001218F5"/>
    <w:rsid w:val="00122202"/>
    <w:rsid w:val="00127061"/>
    <w:rsid w:val="00127108"/>
    <w:rsid w:val="00131B53"/>
    <w:rsid w:val="001327C1"/>
    <w:rsid w:val="001329A3"/>
    <w:rsid w:val="00134120"/>
    <w:rsid w:val="001356C8"/>
    <w:rsid w:val="001378C8"/>
    <w:rsid w:val="00140A6B"/>
    <w:rsid w:val="00144AD4"/>
    <w:rsid w:val="00146731"/>
    <w:rsid w:val="00146F2E"/>
    <w:rsid w:val="00150A2E"/>
    <w:rsid w:val="00152BF7"/>
    <w:rsid w:val="00153BA9"/>
    <w:rsid w:val="00163574"/>
    <w:rsid w:val="001645D4"/>
    <w:rsid w:val="0016567B"/>
    <w:rsid w:val="0016568A"/>
    <w:rsid w:val="001662AA"/>
    <w:rsid w:val="00170A72"/>
    <w:rsid w:val="00171A2A"/>
    <w:rsid w:val="001723BA"/>
    <w:rsid w:val="00175A0C"/>
    <w:rsid w:val="001809AB"/>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3507"/>
    <w:rsid w:val="001C48D7"/>
    <w:rsid w:val="001C727F"/>
    <w:rsid w:val="001D1994"/>
    <w:rsid w:val="001D6D5C"/>
    <w:rsid w:val="001D7A6D"/>
    <w:rsid w:val="001E4A64"/>
    <w:rsid w:val="001E615B"/>
    <w:rsid w:val="001E61F5"/>
    <w:rsid w:val="001F0C01"/>
    <w:rsid w:val="001F1F4D"/>
    <w:rsid w:val="002005AF"/>
    <w:rsid w:val="00200C1A"/>
    <w:rsid w:val="002052E3"/>
    <w:rsid w:val="00210DC2"/>
    <w:rsid w:val="002110D6"/>
    <w:rsid w:val="002120CC"/>
    <w:rsid w:val="002147D9"/>
    <w:rsid w:val="002152F9"/>
    <w:rsid w:val="0021530A"/>
    <w:rsid w:val="002212A9"/>
    <w:rsid w:val="002234C4"/>
    <w:rsid w:val="002234FB"/>
    <w:rsid w:val="00225437"/>
    <w:rsid w:val="002263A1"/>
    <w:rsid w:val="00232746"/>
    <w:rsid w:val="00236707"/>
    <w:rsid w:val="00241116"/>
    <w:rsid w:val="0024280F"/>
    <w:rsid w:val="0024328E"/>
    <w:rsid w:val="002508CB"/>
    <w:rsid w:val="002514A7"/>
    <w:rsid w:val="00253733"/>
    <w:rsid w:val="00256AC0"/>
    <w:rsid w:val="002573AF"/>
    <w:rsid w:val="00263CC5"/>
    <w:rsid w:val="00271866"/>
    <w:rsid w:val="00276E12"/>
    <w:rsid w:val="00277BB1"/>
    <w:rsid w:val="00281B05"/>
    <w:rsid w:val="00282932"/>
    <w:rsid w:val="00282FFC"/>
    <w:rsid w:val="0028419C"/>
    <w:rsid w:val="002878D0"/>
    <w:rsid w:val="00290F1B"/>
    <w:rsid w:val="00291C09"/>
    <w:rsid w:val="00292F53"/>
    <w:rsid w:val="002A3018"/>
    <w:rsid w:val="002A4587"/>
    <w:rsid w:val="002A4DA5"/>
    <w:rsid w:val="002A57B1"/>
    <w:rsid w:val="002A78C4"/>
    <w:rsid w:val="002B2116"/>
    <w:rsid w:val="002B3050"/>
    <w:rsid w:val="002B59C6"/>
    <w:rsid w:val="002B5F0C"/>
    <w:rsid w:val="002C0731"/>
    <w:rsid w:val="002C0B33"/>
    <w:rsid w:val="002C10D6"/>
    <w:rsid w:val="002C30D9"/>
    <w:rsid w:val="002C5810"/>
    <w:rsid w:val="002C6C7D"/>
    <w:rsid w:val="002C769C"/>
    <w:rsid w:val="002D2594"/>
    <w:rsid w:val="002D3647"/>
    <w:rsid w:val="002D418C"/>
    <w:rsid w:val="002D44A1"/>
    <w:rsid w:val="002E44D6"/>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08DC"/>
    <w:rsid w:val="00311112"/>
    <w:rsid w:val="00311C1F"/>
    <w:rsid w:val="0031266A"/>
    <w:rsid w:val="00316E3C"/>
    <w:rsid w:val="0031761F"/>
    <w:rsid w:val="00323E50"/>
    <w:rsid w:val="003264E7"/>
    <w:rsid w:val="00331D21"/>
    <w:rsid w:val="00333A69"/>
    <w:rsid w:val="003352D6"/>
    <w:rsid w:val="00345BF2"/>
    <w:rsid w:val="00345E1F"/>
    <w:rsid w:val="00347131"/>
    <w:rsid w:val="003479B5"/>
    <w:rsid w:val="003500B6"/>
    <w:rsid w:val="00352622"/>
    <w:rsid w:val="003550F8"/>
    <w:rsid w:val="00355B45"/>
    <w:rsid w:val="00361F7D"/>
    <w:rsid w:val="00361FA0"/>
    <w:rsid w:val="003662DB"/>
    <w:rsid w:val="00367D96"/>
    <w:rsid w:val="003706D8"/>
    <w:rsid w:val="00373B7F"/>
    <w:rsid w:val="003753F6"/>
    <w:rsid w:val="0037552A"/>
    <w:rsid w:val="003779C8"/>
    <w:rsid w:val="00382DF7"/>
    <w:rsid w:val="003862EE"/>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F3920"/>
    <w:rsid w:val="003F4D5F"/>
    <w:rsid w:val="00403336"/>
    <w:rsid w:val="00405AD7"/>
    <w:rsid w:val="00407FE5"/>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0E8F"/>
    <w:rsid w:val="004433A0"/>
    <w:rsid w:val="004436F8"/>
    <w:rsid w:val="00447BAE"/>
    <w:rsid w:val="00450DA4"/>
    <w:rsid w:val="00457F13"/>
    <w:rsid w:val="004604DA"/>
    <w:rsid w:val="00462267"/>
    <w:rsid w:val="00462B60"/>
    <w:rsid w:val="00474720"/>
    <w:rsid w:val="00477A13"/>
    <w:rsid w:val="00480A40"/>
    <w:rsid w:val="004827C9"/>
    <w:rsid w:val="00486F5E"/>
    <w:rsid w:val="004875B9"/>
    <w:rsid w:val="00491C5F"/>
    <w:rsid w:val="0049341D"/>
    <w:rsid w:val="00493AA8"/>
    <w:rsid w:val="004A2B4E"/>
    <w:rsid w:val="004A40AB"/>
    <w:rsid w:val="004A539A"/>
    <w:rsid w:val="004A63EC"/>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4624"/>
    <w:rsid w:val="004E6CD8"/>
    <w:rsid w:val="004E6F12"/>
    <w:rsid w:val="004E746C"/>
    <w:rsid w:val="004E7533"/>
    <w:rsid w:val="004F16CA"/>
    <w:rsid w:val="004F4139"/>
    <w:rsid w:val="004F682B"/>
    <w:rsid w:val="00500F93"/>
    <w:rsid w:val="005015BF"/>
    <w:rsid w:val="00503593"/>
    <w:rsid w:val="005036B1"/>
    <w:rsid w:val="00506142"/>
    <w:rsid w:val="00511177"/>
    <w:rsid w:val="005125C9"/>
    <w:rsid w:val="00515BDD"/>
    <w:rsid w:val="00521B9F"/>
    <w:rsid w:val="005268F8"/>
    <w:rsid w:val="0053626E"/>
    <w:rsid w:val="00544936"/>
    <w:rsid w:val="005449A8"/>
    <w:rsid w:val="005457E8"/>
    <w:rsid w:val="0055242A"/>
    <w:rsid w:val="005525AE"/>
    <w:rsid w:val="005546C5"/>
    <w:rsid w:val="005558FC"/>
    <w:rsid w:val="00557337"/>
    <w:rsid w:val="00557B59"/>
    <w:rsid w:val="00565142"/>
    <w:rsid w:val="00567D6A"/>
    <w:rsid w:val="00567D90"/>
    <w:rsid w:val="00570E57"/>
    <w:rsid w:val="00575723"/>
    <w:rsid w:val="005773DC"/>
    <w:rsid w:val="00583644"/>
    <w:rsid w:val="00585F11"/>
    <w:rsid w:val="005906F9"/>
    <w:rsid w:val="005932B4"/>
    <w:rsid w:val="005A3550"/>
    <w:rsid w:val="005A4296"/>
    <w:rsid w:val="005A4DE4"/>
    <w:rsid w:val="005A6204"/>
    <w:rsid w:val="005A6D5A"/>
    <w:rsid w:val="005B1726"/>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5E14"/>
    <w:rsid w:val="00622773"/>
    <w:rsid w:val="00622C58"/>
    <w:rsid w:val="00623065"/>
    <w:rsid w:val="0062614B"/>
    <w:rsid w:val="006266E2"/>
    <w:rsid w:val="0063037B"/>
    <w:rsid w:val="00632C54"/>
    <w:rsid w:val="00635616"/>
    <w:rsid w:val="0063750E"/>
    <w:rsid w:val="00637902"/>
    <w:rsid w:val="00641E99"/>
    <w:rsid w:val="006463F8"/>
    <w:rsid w:val="00650C88"/>
    <w:rsid w:val="0065258E"/>
    <w:rsid w:val="00655035"/>
    <w:rsid w:val="00656814"/>
    <w:rsid w:val="00657A00"/>
    <w:rsid w:val="006633F4"/>
    <w:rsid w:val="0066638E"/>
    <w:rsid w:val="00666CC0"/>
    <w:rsid w:val="00673C22"/>
    <w:rsid w:val="0067482D"/>
    <w:rsid w:val="00675B7F"/>
    <w:rsid w:val="0067732F"/>
    <w:rsid w:val="00681007"/>
    <w:rsid w:val="0068122B"/>
    <w:rsid w:val="00681DD9"/>
    <w:rsid w:val="00682252"/>
    <w:rsid w:val="00682F5C"/>
    <w:rsid w:val="0068439D"/>
    <w:rsid w:val="00687555"/>
    <w:rsid w:val="00690E39"/>
    <w:rsid w:val="00691FF9"/>
    <w:rsid w:val="0069285F"/>
    <w:rsid w:val="0069752C"/>
    <w:rsid w:val="006A0329"/>
    <w:rsid w:val="006A0DE5"/>
    <w:rsid w:val="006A0F5C"/>
    <w:rsid w:val="006A3677"/>
    <w:rsid w:val="006A3F54"/>
    <w:rsid w:val="006A5B27"/>
    <w:rsid w:val="006A7E81"/>
    <w:rsid w:val="006B1653"/>
    <w:rsid w:val="006B37B4"/>
    <w:rsid w:val="006B4E4E"/>
    <w:rsid w:val="006B5952"/>
    <w:rsid w:val="006B6C5F"/>
    <w:rsid w:val="006B7E39"/>
    <w:rsid w:val="006C2072"/>
    <w:rsid w:val="006C43E7"/>
    <w:rsid w:val="006C4820"/>
    <w:rsid w:val="006C496F"/>
    <w:rsid w:val="006C5872"/>
    <w:rsid w:val="006C60E0"/>
    <w:rsid w:val="006C676D"/>
    <w:rsid w:val="006C69E2"/>
    <w:rsid w:val="006C7373"/>
    <w:rsid w:val="006C7825"/>
    <w:rsid w:val="006D2758"/>
    <w:rsid w:val="006D767A"/>
    <w:rsid w:val="006E2A45"/>
    <w:rsid w:val="006E37D4"/>
    <w:rsid w:val="006F3768"/>
    <w:rsid w:val="006F71DE"/>
    <w:rsid w:val="00704573"/>
    <w:rsid w:val="007072CC"/>
    <w:rsid w:val="0071254A"/>
    <w:rsid w:val="007131D2"/>
    <w:rsid w:val="00713917"/>
    <w:rsid w:val="00717AF8"/>
    <w:rsid w:val="00720F86"/>
    <w:rsid w:val="00722E77"/>
    <w:rsid w:val="007245F1"/>
    <w:rsid w:val="007247B8"/>
    <w:rsid w:val="0072731C"/>
    <w:rsid w:val="0073056C"/>
    <w:rsid w:val="00735B1F"/>
    <w:rsid w:val="00737502"/>
    <w:rsid w:val="00740B3A"/>
    <w:rsid w:val="00740C8B"/>
    <w:rsid w:val="00743263"/>
    <w:rsid w:val="007454B6"/>
    <w:rsid w:val="0074789B"/>
    <w:rsid w:val="00754ABD"/>
    <w:rsid w:val="00754D3B"/>
    <w:rsid w:val="00755F02"/>
    <w:rsid w:val="00760D6A"/>
    <w:rsid w:val="0076343C"/>
    <w:rsid w:val="00764C12"/>
    <w:rsid w:val="00772EE1"/>
    <w:rsid w:val="007750DF"/>
    <w:rsid w:val="00777C19"/>
    <w:rsid w:val="00782487"/>
    <w:rsid w:val="00784C8D"/>
    <w:rsid w:val="00785E47"/>
    <w:rsid w:val="00786AD2"/>
    <w:rsid w:val="007873F5"/>
    <w:rsid w:val="0078760F"/>
    <w:rsid w:val="0079136A"/>
    <w:rsid w:val="00792AD8"/>
    <w:rsid w:val="00792D84"/>
    <w:rsid w:val="00795030"/>
    <w:rsid w:val="00795A26"/>
    <w:rsid w:val="007A00CB"/>
    <w:rsid w:val="007A312F"/>
    <w:rsid w:val="007A727C"/>
    <w:rsid w:val="007A7EAB"/>
    <w:rsid w:val="007B3FC3"/>
    <w:rsid w:val="007B5238"/>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E6C2C"/>
    <w:rsid w:val="007F1998"/>
    <w:rsid w:val="007F2034"/>
    <w:rsid w:val="007F3405"/>
    <w:rsid w:val="007F4683"/>
    <w:rsid w:val="007F55A4"/>
    <w:rsid w:val="007F7029"/>
    <w:rsid w:val="007F7C5E"/>
    <w:rsid w:val="00800BF1"/>
    <w:rsid w:val="0080587F"/>
    <w:rsid w:val="00806B14"/>
    <w:rsid w:val="008114D4"/>
    <w:rsid w:val="0081234D"/>
    <w:rsid w:val="00812D2D"/>
    <w:rsid w:val="00817A64"/>
    <w:rsid w:val="008202F7"/>
    <w:rsid w:val="00823832"/>
    <w:rsid w:val="008247A4"/>
    <w:rsid w:val="00825D47"/>
    <w:rsid w:val="008272A6"/>
    <w:rsid w:val="00830FBB"/>
    <w:rsid w:val="0083258C"/>
    <w:rsid w:val="00833D6C"/>
    <w:rsid w:val="00841328"/>
    <w:rsid w:val="00841CCC"/>
    <w:rsid w:val="00843DAD"/>
    <w:rsid w:val="00844377"/>
    <w:rsid w:val="008443EF"/>
    <w:rsid w:val="00846F90"/>
    <w:rsid w:val="00852FB9"/>
    <w:rsid w:val="008536B7"/>
    <w:rsid w:val="0085397A"/>
    <w:rsid w:val="00855DE4"/>
    <w:rsid w:val="00860F34"/>
    <w:rsid w:val="00862AC4"/>
    <w:rsid w:val="0086319B"/>
    <w:rsid w:val="008674A6"/>
    <w:rsid w:val="0087210F"/>
    <w:rsid w:val="0087564D"/>
    <w:rsid w:val="00876000"/>
    <w:rsid w:val="00880171"/>
    <w:rsid w:val="00881644"/>
    <w:rsid w:val="0088526C"/>
    <w:rsid w:val="0089108B"/>
    <w:rsid w:val="00892EE6"/>
    <w:rsid w:val="008931B4"/>
    <w:rsid w:val="00893BC1"/>
    <w:rsid w:val="008973A2"/>
    <w:rsid w:val="008A0E76"/>
    <w:rsid w:val="008A42FE"/>
    <w:rsid w:val="008A4F23"/>
    <w:rsid w:val="008A6EC1"/>
    <w:rsid w:val="008A713B"/>
    <w:rsid w:val="008B12ED"/>
    <w:rsid w:val="008B3D14"/>
    <w:rsid w:val="008B41FA"/>
    <w:rsid w:val="008B4FBE"/>
    <w:rsid w:val="008B6039"/>
    <w:rsid w:val="008C2555"/>
    <w:rsid w:val="008C29FB"/>
    <w:rsid w:val="008C5B87"/>
    <w:rsid w:val="008D0380"/>
    <w:rsid w:val="008D0448"/>
    <w:rsid w:val="008D0677"/>
    <w:rsid w:val="008D0C9E"/>
    <w:rsid w:val="008D2F03"/>
    <w:rsid w:val="008D6762"/>
    <w:rsid w:val="008E0F8B"/>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3C46"/>
    <w:rsid w:val="009350D1"/>
    <w:rsid w:val="00935149"/>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86BBD"/>
    <w:rsid w:val="0098790F"/>
    <w:rsid w:val="00991819"/>
    <w:rsid w:val="00992BBB"/>
    <w:rsid w:val="00996B0A"/>
    <w:rsid w:val="00996B34"/>
    <w:rsid w:val="00997C8E"/>
    <w:rsid w:val="009A0FC8"/>
    <w:rsid w:val="009A2372"/>
    <w:rsid w:val="009A42F1"/>
    <w:rsid w:val="009A5571"/>
    <w:rsid w:val="009A7878"/>
    <w:rsid w:val="009B0CDC"/>
    <w:rsid w:val="009B0DAD"/>
    <w:rsid w:val="009B1729"/>
    <w:rsid w:val="009C01EF"/>
    <w:rsid w:val="009C050D"/>
    <w:rsid w:val="009C06D3"/>
    <w:rsid w:val="009C1312"/>
    <w:rsid w:val="009C6DFD"/>
    <w:rsid w:val="009C7060"/>
    <w:rsid w:val="009D399A"/>
    <w:rsid w:val="009D4A50"/>
    <w:rsid w:val="009D5FD0"/>
    <w:rsid w:val="009D66BC"/>
    <w:rsid w:val="009E53AF"/>
    <w:rsid w:val="009E5E60"/>
    <w:rsid w:val="009E6D4B"/>
    <w:rsid w:val="009E6DF5"/>
    <w:rsid w:val="009F02C5"/>
    <w:rsid w:val="009F076C"/>
    <w:rsid w:val="009F34CC"/>
    <w:rsid w:val="009F3C4D"/>
    <w:rsid w:val="009F479E"/>
    <w:rsid w:val="009F66D9"/>
    <w:rsid w:val="009F7B0C"/>
    <w:rsid w:val="00A035A3"/>
    <w:rsid w:val="00A07D0F"/>
    <w:rsid w:val="00A1128F"/>
    <w:rsid w:val="00A13061"/>
    <w:rsid w:val="00A159D1"/>
    <w:rsid w:val="00A16440"/>
    <w:rsid w:val="00A169AC"/>
    <w:rsid w:val="00A2231D"/>
    <w:rsid w:val="00A2334F"/>
    <w:rsid w:val="00A250AA"/>
    <w:rsid w:val="00A26993"/>
    <w:rsid w:val="00A277E6"/>
    <w:rsid w:val="00A30A8F"/>
    <w:rsid w:val="00A3174A"/>
    <w:rsid w:val="00A35A28"/>
    <w:rsid w:val="00A368EF"/>
    <w:rsid w:val="00A41505"/>
    <w:rsid w:val="00A4414C"/>
    <w:rsid w:val="00A45517"/>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769C9"/>
    <w:rsid w:val="00A81524"/>
    <w:rsid w:val="00A81D60"/>
    <w:rsid w:val="00A84153"/>
    <w:rsid w:val="00A90163"/>
    <w:rsid w:val="00AA1AC0"/>
    <w:rsid w:val="00AA3B66"/>
    <w:rsid w:val="00AA5803"/>
    <w:rsid w:val="00AA584F"/>
    <w:rsid w:val="00AB2843"/>
    <w:rsid w:val="00AB3118"/>
    <w:rsid w:val="00AB6F32"/>
    <w:rsid w:val="00AC1B93"/>
    <w:rsid w:val="00AC46C7"/>
    <w:rsid w:val="00AC5B71"/>
    <w:rsid w:val="00AC5F18"/>
    <w:rsid w:val="00AC6ED5"/>
    <w:rsid w:val="00AD71D4"/>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54FA"/>
    <w:rsid w:val="00B2727D"/>
    <w:rsid w:val="00B301A2"/>
    <w:rsid w:val="00B31350"/>
    <w:rsid w:val="00B315A8"/>
    <w:rsid w:val="00B31F1A"/>
    <w:rsid w:val="00B32C3E"/>
    <w:rsid w:val="00B41D37"/>
    <w:rsid w:val="00B45128"/>
    <w:rsid w:val="00B53DB3"/>
    <w:rsid w:val="00B541FC"/>
    <w:rsid w:val="00B66AF2"/>
    <w:rsid w:val="00B72848"/>
    <w:rsid w:val="00B74544"/>
    <w:rsid w:val="00B77754"/>
    <w:rsid w:val="00B81054"/>
    <w:rsid w:val="00B820DB"/>
    <w:rsid w:val="00B837F0"/>
    <w:rsid w:val="00B83896"/>
    <w:rsid w:val="00B860A9"/>
    <w:rsid w:val="00B87823"/>
    <w:rsid w:val="00B97264"/>
    <w:rsid w:val="00BA0143"/>
    <w:rsid w:val="00BA227A"/>
    <w:rsid w:val="00BA22D1"/>
    <w:rsid w:val="00BA4C69"/>
    <w:rsid w:val="00BA61AF"/>
    <w:rsid w:val="00BB1630"/>
    <w:rsid w:val="00BB6860"/>
    <w:rsid w:val="00BC20CC"/>
    <w:rsid w:val="00BC3256"/>
    <w:rsid w:val="00BC3592"/>
    <w:rsid w:val="00BC36DF"/>
    <w:rsid w:val="00BC4B41"/>
    <w:rsid w:val="00BC66ED"/>
    <w:rsid w:val="00BD11D3"/>
    <w:rsid w:val="00BD2B47"/>
    <w:rsid w:val="00BD2CAA"/>
    <w:rsid w:val="00BD3B65"/>
    <w:rsid w:val="00BE1C5C"/>
    <w:rsid w:val="00BE3BC7"/>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14C3"/>
    <w:rsid w:val="00C221CD"/>
    <w:rsid w:val="00C27729"/>
    <w:rsid w:val="00C312FA"/>
    <w:rsid w:val="00C332C4"/>
    <w:rsid w:val="00C334F5"/>
    <w:rsid w:val="00C35A03"/>
    <w:rsid w:val="00C36A05"/>
    <w:rsid w:val="00C40BA5"/>
    <w:rsid w:val="00C422BC"/>
    <w:rsid w:val="00C432D9"/>
    <w:rsid w:val="00C44166"/>
    <w:rsid w:val="00C4566F"/>
    <w:rsid w:val="00C45B5B"/>
    <w:rsid w:val="00C46F26"/>
    <w:rsid w:val="00C51687"/>
    <w:rsid w:val="00C5289C"/>
    <w:rsid w:val="00C56008"/>
    <w:rsid w:val="00C56CBC"/>
    <w:rsid w:val="00C607B8"/>
    <w:rsid w:val="00C617B0"/>
    <w:rsid w:val="00C62D2B"/>
    <w:rsid w:val="00C6344F"/>
    <w:rsid w:val="00C659E2"/>
    <w:rsid w:val="00C669AD"/>
    <w:rsid w:val="00C70738"/>
    <w:rsid w:val="00C72510"/>
    <w:rsid w:val="00C731CA"/>
    <w:rsid w:val="00C77A6B"/>
    <w:rsid w:val="00C816E6"/>
    <w:rsid w:val="00C82587"/>
    <w:rsid w:val="00C84097"/>
    <w:rsid w:val="00C87FA4"/>
    <w:rsid w:val="00C9181A"/>
    <w:rsid w:val="00C9430C"/>
    <w:rsid w:val="00C9487D"/>
    <w:rsid w:val="00C955CB"/>
    <w:rsid w:val="00C95664"/>
    <w:rsid w:val="00C96E53"/>
    <w:rsid w:val="00CA01DB"/>
    <w:rsid w:val="00CA1597"/>
    <w:rsid w:val="00CA25CC"/>
    <w:rsid w:val="00CA2BA2"/>
    <w:rsid w:val="00CA3ACE"/>
    <w:rsid w:val="00CA5FFF"/>
    <w:rsid w:val="00CA7AB9"/>
    <w:rsid w:val="00CA7F86"/>
    <w:rsid w:val="00CB32EF"/>
    <w:rsid w:val="00CB6E61"/>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0354D"/>
    <w:rsid w:val="00D13012"/>
    <w:rsid w:val="00D14159"/>
    <w:rsid w:val="00D14990"/>
    <w:rsid w:val="00D20619"/>
    <w:rsid w:val="00D24268"/>
    <w:rsid w:val="00D24970"/>
    <w:rsid w:val="00D25BE6"/>
    <w:rsid w:val="00D27CE5"/>
    <w:rsid w:val="00D321DB"/>
    <w:rsid w:val="00D32460"/>
    <w:rsid w:val="00D32EBF"/>
    <w:rsid w:val="00D343B3"/>
    <w:rsid w:val="00D35073"/>
    <w:rsid w:val="00D36085"/>
    <w:rsid w:val="00D421D9"/>
    <w:rsid w:val="00D45CB1"/>
    <w:rsid w:val="00D47529"/>
    <w:rsid w:val="00D47713"/>
    <w:rsid w:val="00D51103"/>
    <w:rsid w:val="00D518A3"/>
    <w:rsid w:val="00D5192B"/>
    <w:rsid w:val="00D53B1C"/>
    <w:rsid w:val="00D55A7A"/>
    <w:rsid w:val="00D568D5"/>
    <w:rsid w:val="00D56B6F"/>
    <w:rsid w:val="00D57878"/>
    <w:rsid w:val="00D60AB7"/>
    <w:rsid w:val="00D6226F"/>
    <w:rsid w:val="00D70E15"/>
    <w:rsid w:val="00D714E5"/>
    <w:rsid w:val="00D73F3A"/>
    <w:rsid w:val="00D7546D"/>
    <w:rsid w:val="00D75C54"/>
    <w:rsid w:val="00D839C5"/>
    <w:rsid w:val="00D84043"/>
    <w:rsid w:val="00D91348"/>
    <w:rsid w:val="00D9566D"/>
    <w:rsid w:val="00DA0EF7"/>
    <w:rsid w:val="00DA4509"/>
    <w:rsid w:val="00DA4B3F"/>
    <w:rsid w:val="00DA4EB6"/>
    <w:rsid w:val="00DA5F0C"/>
    <w:rsid w:val="00DA6066"/>
    <w:rsid w:val="00DB20EB"/>
    <w:rsid w:val="00DB33F6"/>
    <w:rsid w:val="00DB38CC"/>
    <w:rsid w:val="00DC08B6"/>
    <w:rsid w:val="00DC1F45"/>
    <w:rsid w:val="00DC277F"/>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F139C"/>
    <w:rsid w:val="00DF7D53"/>
    <w:rsid w:val="00E12F22"/>
    <w:rsid w:val="00E165FC"/>
    <w:rsid w:val="00E168D7"/>
    <w:rsid w:val="00E23A47"/>
    <w:rsid w:val="00E23E0E"/>
    <w:rsid w:val="00E23FBA"/>
    <w:rsid w:val="00E2482B"/>
    <w:rsid w:val="00E24E35"/>
    <w:rsid w:val="00E2592B"/>
    <w:rsid w:val="00E25D98"/>
    <w:rsid w:val="00E264F8"/>
    <w:rsid w:val="00E30C52"/>
    <w:rsid w:val="00E33666"/>
    <w:rsid w:val="00E3771A"/>
    <w:rsid w:val="00E40B45"/>
    <w:rsid w:val="00E41637"/>
    <w:rsid w:val="00E50C30"/>
    <w:rsid w:val="00E51410"/>
    <w:rsid w:val="00E515E7"/>
    <w:rsid w:val="00E5580D"/>
    <w:rsid w:val="00E56402"/>
    <w:rsid w:val="00E56CB5"/>
    <w:rsid w:val="00E57B0D"/>
    <w:rsid w:val="00E61828"/>
    <w:rsid w:val="00E65E56"/>
    <w:rsid w:val="00E664D0"/>
    <w:rsid w:val="00E66F94"/>
    <w:rsid w:val="00E670E5"/>
    <w:rsid w:val="00E6767D"/>
    <w:rsid w:val="00E717C1"/>
    <w:rsid w:val="00E71E63"/>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3511"/>
    <w:rsid w:val="00F569D6"/>
    <w:rsid w:val="00F57FCC"/>
    <w:rsid w:val="00F60C98"/>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B48AD"/>
    <w:rsid w:val="00FC1707"/>
    <w:rsid w:val="00FC1C82"/>
    <w:rsid w:val="00FC1D2F"/>
    <w:rsid w:val="00FC45AC"/>
    <w:rsid w:val="00FC4CFF"/>
    <w:rsid w:val="00FC5DE9"/>
    <w:rsid w:val="00FD0415"/>
    <w:rsid w:val="00FD44E2"/>
    <w:rsid w:val="00FD48FA"/>
    <w:rsid w:val="00FD6B23"/>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2F78751"/>
  <w15:chartTrackingRefBased/>
  <w15:docId w15:val="{DEB6D086-604E-5748-9B8D-7FD6F5211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9350D1"/>
    <w:rPr>
      <w:rFonts w:ascii="Calibri" w:hAnsi="Calibri" w:cs="Calibri"/>
    </w:rPr>
  </w:style>
  <w:style w:type="paragraph" w:styleId="Heading1">
    <w:name w:val="heading 1"/>
    <w:aliases w:val="Pocket"/>
    <w:basedOn w:val="Normal"/>
    <w:next w:val="Normal"/>
    <w:link w:val="Heading1Char"/>
    <w:qFormat/>
    <w:rsid w:val="009350D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9350D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qFormat/>
    <w:rsid w:val="009350D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Heading 2 Char2 Char,Heading 2 Char1 Char Char,TAG,no read,No Spacing211,No Spacing12,No Spacing2111,No Spacing4,No Spacing11111,No Spacing5,No Spacing21,Tags,tags,No Spacing1111,ta, Ch,t,Ta"/>
    <w:basedOn w:val="Normal"/>
    <w:next w:val="Normal"/>
    <w:link w:val="Heading4Char"/>
    <w:uiPriority w:val="3"/>
    <w:qFormat/>
    <w:rsid w:val="009350D1"/>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9350D1"/>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9350D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350D1"/>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s"/>
    <w:basedOn w:val="DefaultParagraphFont"/>
    <w:link w:val="textbold"/>
    <w:uiPriority w:val="8"/>
    <w:qFormat/>
    <w:rsid w:val="009350D1"/>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9350D1"/>
    <w:rPr>
      <w:color w:val="auto"/>
      <w:u w:val="none"/>
    </w:rPr>
  </w:style>
  <w:style w:type="character" w:customStyle="1" w:styleId="Heading1Char">
    <w:name w:val="Heading 1 Char"/>
    <w:aliases w:val="Pocket Char"/>
    <w:basedOn w:val="DefaultParagraphFont"/>
    <w:link w:val="Heading1"/>
    <w:rsid w:val="009350D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350D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350D1"/>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Heading 2 Char2 Char Char,Heading 2 Char1 Char Char Char,TAG Char,no read Char,No Spacing211 Char,No Spacing12 Char,No Spacing2111 Char,Tags Char"/>
    <w:basedOn w:val="DefaultParagraphFont"/>
    <w:link w:val="Heading4"/>
    <w:uiPriority w:val="3"/>
    <w:rsid w:val="009350D1"/>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6"/>
    <w:qFormat/>
    <w:rsid w:val="009350D1"/>
    <w:rPr>
      <w:b/>
      <w:bCs/>
      <w:sz w:val="26"/>
      <w:u w:val="none"/>
    </w:rPr>
  </w:style>
  <w:style w:type="character" w:customStyle="1" w:styleId="StyleUnderline">
    <w:name w:val="Style Underline"/>
    <w:aliases w:val="Underline,Intense Emphasis1,Style Bold Underline,Intense Emphasis11,Intense Emphasis111,apple-style-span + 6 pt,Kern at 16 pt,Style,Bold,Intense Emphasis1111,Intense Emphasis2,HHeading 3 + 12 pt,Cards + Font: 12 pt Char,ci,c,B,Bo,cite,S"/>
    <w:basedOn w:val="DefaultParagraphFont"/>
    <w:uiPriority w:val="7"/>
    <w:qFormat/>
    <w:rsid w:val="009350D1"/>
    <w:rPr>
      <w:b w:val="0"/>
      <w:sz w:val="22"/>
      <w:u w:val="single"/>
    </w:rPr>
  </w:style>
  <w:style w:type="character" w:styleId="Strong">
    <w:name w:val="Strong"/>
    <w:basedOn w:val="DefaultParagraphFont"/>
    <w:uiPriority w:val="22"/>
    <w:semiHidden/>
    <w:qFormat/>
    <w:rsid w:val="009350D1"/>
    <w:rPr>
      <w:b/>
      <w:bCs/>
    </w:rPr>
  </w:style>
  <w:style w:type="character" w:styleId="BookTitle">
    <w:name w:val="Book Title"/>
    <w:basedOn w:val="DefaultParagraphFont"/>
    <w:uiPriority w:val="33"/>
    <w:semiHidden/>
    <w:qFormat/>
    <w:rsid w:val="009350D1"/>
    <w:rPr>
      <w:b/>
      <w:bCs/>
      <w:i/>
      <w:iCs/>
      <w:spacing w:val="5"/>
    </w:rPr>
  </w:style>
  <w:style w:type="character" w:customStyle="1" w:styleId="Heading5Char">
    <w:name w:val="Heading 5 Char"/>
    <w:basedOn w:val="DefaultParagraphFont"/>
    <w:link w:val="Heading5"/>
    <w:uiPriority w:val="9"/>
    <w:semiHidden/>
    <w:rsid w:val="009350D1"/>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9350D1"/>
  </w:style>
  <w:style w:type="paragraph" w:styleId="Header">
    <w:name w:val="header"/>
    <w:basedOn w:val="Normal"/>
    <w:link w:val="HeaderChar"/>
    <w:uiPriority w:val="99"/>
    <w:semiHidden/>
    <w:rsid w:val="009350D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350D1"/>
    <w:rPr>
      <w:rFonts w:ascii="Calibri" w:hAnsi="Calibri" w:cs="Calibri"/>
    </w:rPr>
  </w:style>
  <w:style w:type="paragraph" w:styleId="Footer">
    <w:name w:val="footer"/>
    <w:basedOn w:val="Normal"/>
    <w:link w:val="FooterChar"/>
    <w:uiPriority w:val="99"/>
    <w:semiHidden/>
    <w:rsid w:val="009350D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350D1"/>
    <w:rPr>
      <w:rFonts w:ascii="Calibri" w:hAnsi="Calibri" w:cs="Calibri"/>
    </w:rPr>
  </w:style>
  <w:style w:type="paragraph" w:styleId="BodyText">
    <w:name w:val="Body Text"/>
    <w:basedOn w:val="Normal"/>
    <w:link w:val="BodyTextChar"/>
    <w:uiPriority w:val="99"/>
    <w:semiHidden/>
    <w:unhideWhenUsed/>
    <w:rsid w:val="009350D1"/>
    <w:pPr>
      <w:spacing w:after="120"/>
    </w:pPr>
  </w:style>
  <w:style w:type="character" w:customStyle="1" w:styleId="BodyTextChar">
    <w:name w:val="Body Text Char"/>
    <w:basedOn w:val="DefaultParagraphFont"/>
    <w:link w:val="BodyText"/>
    <w:uiPriority w:val="99"/>
    <w:semiHidden/>
    <w:rsid w:val="009350D1"/>
    <w:rPr>
      <w:rFonts w:ascii="Calibri" w:hAnsi="Calibri" w:cs="Calibri"/>
    </w:rPr>
  </w:style>
  <w:style w:type="paragraph" w:styleId="NoSpacing">
    <w:name w:val="No Spacing"/>
    <w:link w:val="NoSpacingChar"/>
    <w:uiPriority w:val="99"/>
    <w:semiHidden/>
    <w:unhideWhenUsed/>
    <w:qFormat/>
    <w:rsid w:val="009350D1"/>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9350D1"/>
    <w:rPr>
      <w:rFonts w:ascii="Calibri" w:hAnsi="Calibri" w:cs="Calibri"/>
    </w:rPr>
  </w:style>
  <w:style w:type="character" w:styleId="Hyperlink">
    <w:name w:val="Hyperlink"/>
    <w:basedOn w:val="DefaultParagraphFont"/>
    <w:uiPriority w:val="99"/>
    <w:unhideWhenUsed/>
    <w:rsid w:val="009350D1"/>
    <w:rPr>
      <w:color w:val="0563C1" w:themeColor="hyperlink"/>
      <w:u w:val="single"/>
    </w:rPr>
  </w:style>
  <w:style w:type="character" w:styleId="UnresolvedMention">
    <w:name w:val="Unresolved Mention"/>
    <w:basedOn w:val="DefaultParagraphFont"/>
    <w:uiPriority w:val="99"/>
    <w:semiHidden/>
    <w:unhideWhenUsed/>
    <w:rsid w:val="009350D1"/>
    <w:rPr>
      <w:color w:val="605E5C"/>
      <w:shd w:val="clear" w:color="auto" w:fill="E1DFDD"/>
    </w:rPr>
  </w:style>
  <w:style w:type="paragraph" w:customStyle="1" w:styleId="Analytic">
    <w:name w:val="Analytic"/>
    <w:link w:val="AnalyticChar"/>
    <w:autoRedefine/>
    <w:uiPriority w:val="4"/>
    <w:qFormat/>
    <w:rsid w:val="009350D1"/>
    <w:pPr>
      <w:spacing w:before="120" w:after="120"/>
      <w:outlineLvl w:val="3"/>
    </w:pPr>
    <w:rPr>
      <w:rFonts w:ascii="Arial" w:eastAsia="Times New Roman" w:hAnsi="Arial" w:cs="Times New Roman"/>
      <w:b/>
      <w:color w:val="7F7F7F" w:themeColor="text1" w:themeTint="80"/>
      <w:sz w:val="26"/>
      <w:szCs w:val="20"/>
    </w:rPr>
  </w:style>
  <w:style w:type="character" w:customStyle="1" w:styleId="AnalyticChar">
    <w:name w:val="Analytic Char"/>
    <w:basedOn w:val="DefaultParagraphFont"/>
    <w:link w:val="Analytic"/>
    <w:uiPriority w:val="4"/>
    <w:rsid w:val="009350D1"/>
    <w:rPr>
      <w:rFonts w:ascii="Arial" w:eastAsia="Times New Roman" w:hAnsi="Arial" w:cs="Times New Roman"/>
      <w:b/>
      <w:color w:val="7F7F7F" w:themeColor="text1" w:themeTint="80"/>
      <w:sz w:val="26"/>
      <w:szCs w:val="20"/>
    </w:rPr>
  </w:style>
  <w:style w:type="paragraph" w:customStyle="1" w:styleId="textbold">
    <w:name w:val="text bold"/>
    <w:basedOn w:val="Normal"/>
    <w:link w:val="Emphasis"/>
    <w:uiPriority w:val="8"/>
    <w:qFormat/>
    <w:rsid w:val="006D2758"/>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egansli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5</TotalTime>
  <Pages>1</Pages>
  <Words>506</Words>
  <Characters>2886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3386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Regan Slish</dc:creator>
  <cp:keywords>6.0.0</cp:keywords>
  <dc:description/>
  <cp:lastModifiedBy>Regan Slish</cp:lastModifiedBy>
  <cp:revision>2</cp:revision>
  <dcterms:created xsi:type="dcterms:W3CDTF">2025-09-10T19:40:00Z</dcterms:created>
  <dcterms:modified xsi:type="dcterms:W3CDTF">2025-09-24T16:13:00Z</dcterms:modified>
</cp:coreProperties>
</file>